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B1F3A"/>
          <w:sz w:val="56"/>
          <w:szCs w:val="56"/>
        </w:rPr>
        <w:t xml:space="preserve">FinSight</w:t>
      </w:r>
    </w:p>
    <w:p>
      <w:pPr>
        <w:spacing w:after="240"/>
      </w:pPr>
      <w:r>
        <w:rPr>
          <w:color w:val="14B8A6"/>
          <w:sz w:val="28"/>
          <w:szCs w:val="28"/>
        </w:rPr>
        <w:t xml:space="preserve">Product Requirements Document · MVP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Field</w:t>
            </w:r>
          </w:p>
        </w:tc>
        <w:tc>
          <w:tcPr>
            <w:tcW w:type="dxa" w:w="67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Detail</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Product</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FinSight: self-service product &amp; financial analytics</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Company</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StreamCo (fictional subscription business, synthetic data)</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Author / PM</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Jaykumar Raichura</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Status</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Approved for MVP build</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Version</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1.0</w:t>
            </w:r>
          </w:p>
        </w:tc>
      </w:tr>
      <w:tr>
        <w:trPr>
          <w:tblHeader w:val="false"/>
        </w:trPr>
        <w:tc>
          <w:tcPr>
            <w:tcW w:type="dxa" w:w="26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Stakeholders</w:t>
            </w:r>
          </w:p>
        </w:tc>
        <w:tc>
          <w:tcPr>
            <w:tcW w:type="dxa" w:w="67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CFO, FP&amp;A Manager, Head of Product, Regional Ops Leads, Data Engineering</w:t>
            </w:r>
          </w:p>
        </w:tc>
      </w:tr>
    </w:tbl>
    <w:p>
      <w:pPr>
        <w:pStyle w:val="Heading1"/>
      </w:pPr>
      <w:r>
        <w:t xml:space="preserve">1. Summary</w:t>
      </w:r>
    </w:p>
    <w:p>
      <w:pPr>
        <w:spacing w:after="120"/>
      </w:pPr>
      <w:r>
        <w:t xml:space="preserve">StreamCo's finance and product teams report from separate spreadsheets with different revenue definitions. Leadership reviews start by debating whose number is right, monthly variance reporting takes about five days of manual work, and no one can say which tiers or regions drive margin. FinSight gives these teams one governed revenue model, one metric glossary, and three focused dashboards so they can explain performance in days, not weeks.</w:t>
      </w:r>
    </w:p>
    <w:p>
      <w:pPr>
        <w:pStyle w:val="Heading1"/>
      </w:pPr>
      <w:r>
        <w:t xml:space="preserve">2. Problem</w:t>
      </w:r>
    </w:p>
    <w:p>
      <w:pPr>
        <w:pStyle w:val="ListParagraph"/>
        <w:numPr>
          <w:ilvl w:val="0"/>
          <w:numId w:val="2"/>
        </w:numPr>
        <w:spacing w:after="60"/>
      </w:pPr>
      <w:r>
        <w:t xml:space="preserve">Conflicting definitions: Finance and Product calculate revenue, churn and ARPU differently.</w:t>
      </w:r>
    </w:p>
    <w:p>
      <w:pPr>
        <w:pStyle w:val="ListParagraph"/>
        <w:numPr>
          <w:ilvl w:val="0"/>
          <w:numId w:val="2"/>
        </w:numPr>
        <w:spacing w:after="60"/>
      </w:pPr>
      <w:r>
        <w:t xml:space="preserve">Slow reporting: budget vs. actual variance takes ~5 days of manual spreadsheet work each month.</w:t>
      </w:r>
    </w:p>
    <w:p>
      <w:pPr>
        <w:pStyle w:val="ListParagraph"/>
        <w:numPr>
          <w:ilvl w:val="0"/>
          <w:numId w:val="2"/>
        </w:numPr>
        <w:spacing w:after="60"/>
      </w:pPr>
      <w:r>
        <w:t xml:space="preserve">Low visibility: FY2025 revenue finished 5.1% ($1.28M) below budget, and the gap was only explained after year-end. International missed plan by 9.6%.</w:t>
      </w:r>
    </w:p>
    <w:p>
      <w:pPr>
        <w:spacing w:after="120"/>
      </w:pPr>
      <w:r>
        <w:rPr>
          <w:b/>
          <w:bCs/>
        </w:rPr>
        <w:t xml:space="preserve">Problem statement: </w:t>
      </w:r>
      <w:r>
        <w:t xml:space="preserve">How might we give finance and product leaders a single, trusted view of performance so they can spot and explain variance before the monthly business review?</w:t>
      </w:r>
    </w:p>
    <w:p>
      <w:pPr>
        <w:pStyle w:val="Heading1"/>
      </w:pPr>
      <w:r>
        <w:t xml:space="preserve">3. Goals and non-goals</w:t>
      </w:r>
    </w:p>
    <w:p>
      <w:pPr>
        <w:pStyle w:val="Heading2"/>
      </w:pPr>
      <w:r>
        <w:t xml:space="preserve">Goals</w:t>
      </w:r>
    </w:p>
    <w:p>
      <w:pPr>
        <w:pStyle w:val="ListParagraph"/>
        <w:numPr>
          <w:ilvl w:val="0"/>
          <w:numId w:val="2"/>
        </w:numPr>
        <w:spacing w:after="60"/>
      </w:pPr>
      <w:r>
        <w:t xml:space="preserve">One source of truth for revenue, subscribers, churn, ARPU and gross margin.</w:t>
      </w:r>
    </w:p>
    <w:p>
      <w:pPr>
        <w:pStyle w:val="ListParagraph"/>
        <w:numPr>
          <w:ilvl w:val="0"/>
          <w:numId w:val="2"/>
        </w:numPr>
        <w:spacing w:after="60"/>
      </w:pPr>
      <w:r>
        <w:t xml:space="preserve">Cut monthly variance reporting time from ~5 days to 2 days (60% reduction).</w:t>
      </w:r>
    </w:p>
    <w:p>
      <w:pPr>
        <w:pStyle w:val="ListParagraph"/>
        <w:numPr>
          <w:ilvl w:val="0"/>
          <w:numId w:val="2"/>
        </w:numPr>
        <w:spacing w:after="60"/>
      </w:pPr>
      <w:r>
        <w:t xml:space="preserve">Weekly use by all three personas within 60 days of launch.</w:t>
      </w:r>
    </w:p>
    <w:p>
      <w:pPr>
        <w:pStyle w:val="Heading2"/>
      </w:pPr>
      <w:r>
        <w:t xml:space="preserve">Non-goals (MVP)</w:t>
      </w:r>
    </w:p>
    <w:p>
      <w:pPr>
        <w:pStyle w:val="ListParagraph"/>
        <w:numPr>
          <w:ilvl w:val="0"/>
          <w:numId w:val="2"/>
        </w:numPr>
        <w:spacing w:after="60"/>
      </w:pPr>
      <w:r>
        <w:t xml:space="preserve">Real-time data (daily refresh is sufficient).</w:t>
      </w:r>
    </w:p>
    <w:p>
      <w:pPr>
        <w:pStyle w:val="ListParagraph"/>
        <w:numPr>
          <w:ilvl w:val="0"/>
          <w:numId w:val="2"/>
        </w:numPr>
        <w:spacing w:after="60"/>
      </w:pPr>
      <w:r>
        <w:t xml:space="preserve">Budget write-back or planning workflows.</w:t>
      </w:r>
    </w:p>
    <w:p>
      <w:pPr>
        <w:pStyle w:val="ListParagraph"/>
        <w:numPr>
          <w:ilvl w:val="0"/>
          <w:numId w:val="2"/>
        </w:numPr>
        <w:spacing w:after="60"/>
      </w:pPr>
      <w:r>
        <w:t xml:space="preserve">AI features such as anomaly alerts or natural-language questions (planned for V2).</w:t>
      </w:r>
    </w:p>
    <w:p>
      <w:pPr>
        <w:pStyle w:val="Heading1"/>
      </w:pPr>
      <w:r>
        <w:t xml:space="preserve">4. Users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630"/>
        <w:gridCol w:w="3630"/>
      </w:tblGrid>
      <w:tr>
        <w:trPr>
          <w:tblHeader/>
        </w:trPr>
        <w:tc>
          <w:tcPr>
            <w:tcW w:type="dxa" w:w="21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Persona</w:t>
            </w:r>
          </w:p>
        </w:tc>
        <w:tc>
          <w:tcPr>
            <w:tcW w:type="dxa" w:w="363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Job to be done</w:t>
            </w:r>
          </w:p>
        </w:tc>
        <w:tc>
          <w:tcPr>
            <w:tcW w:type="dxa" w:w="363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Pain today</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FP&amp;A Manager</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Explain budget vs. actual variance before the monthly review</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Rebuilds the same Excel model every month</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Product Manager</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See revenue, churn and adoption by tier to prioritize the roadmap</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Waits days for finance numbers</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Regional Ops Lead</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Track regional performance and cost drivers</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Sees data only after month close</w:t>
            </w:r>
          </w:p>
        </w:tc>
      </w:tr>
      <w:tr>
        <w:trPr>
          <w:tblHeader w:val="false"/>
        </w:trPr>
        <w:tc>
          <w:tcPr>
            <w:tcW w:type="dxa" w:w="2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CFO (consumer)</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Know in one glance if the business is on plan</w:t>
            </w:r>
          </w:p>
        </w:tc>
        <w:tc>
          <w:tcPr>
            <w:tcW w:type="dxa" w:w="363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Gets conflicting numbers from teams</w:t>
            </w:r>
          </w:p>
        </w:tc>
      </w:tr>
    </w:tbl>
    <w:p>
      <w:pPr>
        <w:pStyle w:val="Heading1"/>
      </w:pPr>
      <w:r>
        <w:t xml:space="preserve">5. Discovery insights</w:t>
      </w:r>
    </w:p>
    <w:p>
      <w:pPr>
        <w:pStyle w:val="ListParagraph"/>
        <w:numPr>
          <w:ilvl w:val="0"/>
          <w:numId w:val="2"/>
        </w:numPr>
        <w:spacing w:after="60"/>
      </w:pPr>
      <w:r>
        <w:t xml:space="preserve">The core problem is not missing dashboards; it is the lack of shared metric definitions.</w:t>
      </w:r>
    </w:p>
    <w:p>
      <w:pPr>
        <w:pStyle w:val="ListParagraph"/>
        <w:numPr>
          <w:ilvl w:val="0"/>
          <w:numId w:val="2"/>
        </w:numPr>
        <w:spacing w:after="60"/>
      </w:pPr>
      <w:r>
        <w:t xml:space="preserve">Users asked for fewer metrics, not more: they want to know what changed and why.</w:t>
      </w:r>
    </w:p>
    <w:p>
      <w:pPr>
        <w:pStyle w:val="ListParagraph"/>
        <w:numPr>
          <w:ilvl w:val="0"/>
          <w:numId w:val="2"/>
        </w:numPr>
        <w:spacing w:after="60"/>
      </w:pPr>
      <w:r>
        <w:t xml:space="preserve">Trust outranks speed. One wrong number in a leadership meeting would end adoption.</w:t>
      </w:r>
    </w:p>
    <w:p>
      <w:pPr>
        <w:pStyle w:val="Heading1"/>
      </w:pPr>
      <w:r>
        <w:t xml:space="preserve">6. User stories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6060"/>
        <w:gridCol w:w="2400"/>
      </w:tblGrid>
      <w:tr>
        <w:trPr>
          <w:tblHeader/>
        </w:trPr>
        <w:tc>
          <w:tcPr>
            <w:tcW w:type="dxa" w:w="9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ID</w:t>
            </w:r>
          </w:p>
        </w:tc>
        <w:tc>
          <w:tcPr>
            <w:tcW w:type="dxa" w:w="60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User story</w:t>
            </w:r>
          </w:p>
        </w:tc>
        <w:tc>
          <w:tcPr>
            <w:tcW w:type="dxa" w:w="24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Priority</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US-1</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an FP&amp;A manager, I want YTD budget vs. actual by region and tier so I can explain variance before the review.</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US-2</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CFO, I want one executive view of MRR, ARR, subscribers, churn, ARPU and margin so I know if we are on plan.</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US-3</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any user, I want every metric to have one definition and owner so numbers match across teams.</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Must</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US-4</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PM, I want subscribers, churn and ARPU by tier so I can find upgrade and retention opportunities.</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Should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US-5</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an ops lead, I want to filter every view by region and month so I can focus on my area.</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Should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US-6</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user, I want an automatic one-line summary of what changed so I don't have to interpret every chart.</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Could</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US-7</w:t>
            </w:r>
          </w:p>
        </w:tc>
        <w:tc>
          <w:tcPr>
            <w:tcW w:type="dxa" w:w="60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As a user, I want alerts when variance passes a threshold.</w:t>
            </w:r>
          </w:p>
        </w:tc>
        <w:tc>
          <w:tcPr>
            <w:tcW w:type="dxa" w:w="2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Won't (V2)</w:t>
            </w:r>
          </w:p>
        </w:tc>
      </w:tr>
    </w:tbl>
    <w:p>
      <w:pPr>
        <w:pStyle w:val="Heading1"/>
      </w:pPr>
      <w:r>
        <w:t xml:space="preserve">7. Functional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5460"/>
        <w:gridCol w:w="3000"/>
      </w:tblGrid>
      <w:tr>
        <w:trPr>
          <w:tblHeader/>
        </w:trPr>
        <w:tc>
          <w:tcPr>
            <w:tcW w:type="dxa" w:w="9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ID</w:t>
            </w:r>
          </w:p>
        </w:tc>
        <w:tc>
          <w:tcPr>
            <w:tcW w:type="dxa" w:w="54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Requirement</w:t>
            </w:r>
          </w:p>
        </w:tc>
        <w:tc>
          <w:tcPr>
            <w:tcW w:type="dxa" w:w="30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Acceptance criteria</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FR-1</w:t>
            </w:r>
          </w:p>
        </w:tc>
        <w:tc>
          <w:tcPr>
            <w:tcW w:type="dxa" w:w="54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Executive view with 6 KPI cards and MRR actual vs. budget trend</w:t>
            </w:r>
          </w:p>
        </w:tc>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KPIs match finance-certified totals within 0.1%</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FR-2</w:t>
            </w:r>
          </w:p>
        </w:tc>
        <w:tc>
          <w:tcPr>
            <w:tcW w:type="dxa" w:w="54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Budget vs. actual view with variance by region and tier, $ and %</w:t>
            </w:r>
          </w:p>
        </w:tc>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Unfavorable variance shown in red; totals reconcile</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FR-3</w:t>
            </w:r>
          </w:p>
        </w:tc>
        <w:tc>
          <w:tcPr>
            <w:tcW w:type="dxa" w:w="54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Product performance view by tier: subscribers, new, churn, ARPU, MRR, GM</w:t>
            </w:r>
          </w:p>
        </w:tc>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Tier totals equal executive totals</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FR-4</w:t>
            </w:r>
          </w:p>
        </w:tc>
        <w:tc>
          <w:tcPr>
            <w:tcW w:type="dxa" w:w="54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Global filters: region, tier, month</w:t>
            </w:r>
          </w:p>
        </w:tc>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All views update in under 2 seconds</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FR-5</w:t>
            </w:r>
          </w:p>
        </w:tc>
        <w:tc>
          <w:tcPr>
            <w:tcW w:type="dxa" w:w="54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Metric glossary with definition and owner for each KPI</w:t>
            </w:r>
          </w:p>
        </w:tc>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Every KPI card shows its definition on hover</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FR-6</w:t>
            </w:r>
          </w:p>
        </w:tc>
        <w:tc>
          <w:tcPr>
            <w:tcW w:type="dxa" w:w="54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Auto-generated variance summary sentence</w:t>
            </w:r>
          </w:p>
        </w:tc>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States YTD variance and largest gap</w:t>
            </w:r>
          </w:p>
        </w:tc>
      </w:tr>
      <w:tr>
        <w:trPr>
          <w:tblHeader w:val="false"/>
        </w:trPr>
        <w:tc>
          <w:tcPr>
            <w:tcW w:type="dxa" w:w="9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FR-7</w:t>
            </w:r>
          </w:p>
        </w:tc>
        <w:tc>
          <w:tcPr>
            <w:tcW w:type="dxa" w:w="54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Downloadable source dataset</w:t>
            </w:r>
          </w:p>
        </w:tc>
        <w:tc>
          <w:tcPr>
            <w:tcW w:type="dxa" w:w="30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CSV export available on every view</w:t>
            </w:r>
          </w:p>
        </w:tc>
      </w:tr>
    </w:tbl>
    <w:p>
      <w:pPr>
        <w:pStyle w:val="Heading1"/>
      </w:pPr>
      <w:r>
        <w:t xml:space="preserve">8. Metric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4960"/>
        <w:gridCol w:w="2200"/>
      </w:tblGrid>
      <w:tr>
        <w:trPr>
          <w:tblHeader/>
        </w:trPr>
        <w:tc>
          <w:tcPr>
            <w:tcW w:type="dxa" w:w="22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Metric</w:t>
            </w:r>
          </w:p>
        </w:tc>
        <w:tc>
          <w:tcPr>
            <w:tcW w:type="dxa" w:w="49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Definition</w:t>
            </w:r>
          </w:p>
        </w:tc>
        <w:tc>
          <w:tcPr>
            <w:tcW w:type="dxa" w:w="22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Owner</w:t>
            </w:r>
          </w:p>
        </w:tc>
      </w:tr>
      <w:tr>
        <w:trPr>
          <w:tblHeader w:val="false"/>
        </w:trPr>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MRR</w:t>
            </w:r>
          </w:p>
        </w:tc>
        <w:tc>
          <w:tcPr>
            <w:tcW w:type="dxa" w:w="49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Sum of subscription revenue billed in the month</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Finance</w:t>
            </w:r>
          </w:p>
        </w:tc>
      </w:tr>
      <w:tr>
        <w:trPr>
          <w:tblHeader w:val="false"/>
        </w:trPr>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ARR run-rate</w:t>
            </w:r>
          </w:p>
        </w:tc>
        <w:tc>
          <w:tcPr>
            <w:tcW w:type="dxa" w:w="49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MRR × 12</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Finance</w:t>
            </w:r>
          </w:p>
        </w:tc>
      </w:tr>
      <w:tr>
        <w:trPr>
          <w:tblHeader w:val="false"/>
        </w:trPr>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Subscribers</w:t>
            </w:r>
          </w:p>
        </w:tc>
        <w:tc>
          <w:tcPr>
            <w:tcW w:type="dxa" w:w="49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Active paid accounts at month end</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Product</w:t>
            </w:r>
          </w:p>
        </w:tc>
      </w:tr>
      <w:tr>
        <w:trPr>
          <w:tblHeader w:val="false"/>
        </w:trPr>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Monthly churn</w:t>
            </w:r>
          </w:p>
        </w:tc>
        <w:tc>
          <w:tcPr>
            <w:tcW w:type="dxa" w:w="49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Churned subscribers ÷ start-of-month subscribers</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Product</w:t>
            </w:r>
          </w:p>
        </w:tc>
      </w:tr>
      <w:tr>
        <w:trPr>
          <w:tblHeader w:val="false"/>
        </w:trPr>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ARPU</w:t>
            </w:r>
          </w:p>
        </w:tc>
        <w:tc>
          <w:tcPr>
            <w:tcW w:type="dxa" w:w="49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MRR ÷ month-end subscribers</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Finance</w:t>
            </w:r>
          </w:p>
        </w:tc>
      </w:tr>
      <w:tr>
        <w:trPr>
          <w:tblHeader w:val="false"/>
        </w:trPr>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Gross margin</w:t>
            </w:r>
          </w:p>
        </w:tc>
        <w:tc>
          <w:tcPr>
            <w:tcW w:type="dxa" w:w="49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(Revenue − COGS) ÷ Revenue</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Finance</w:t>
            </w:r>
          </w:p>
        </w:tc>
      </w:tr>
      <w:tr>
        <w:trPr>
          <w:tblHeader w:val="false"/>
        </w:trPr>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Variance</w:t>
            </w:r>
          </w:p>
        </w:tc>
        <w:tc>
          <w:tcPr>
            <w:tcW w:type="dxa" w:w="49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Actual − Budget; negative is unfavorable</w:t>
            </w:r>
          </w:p>
        </w:tc>
        <w:tc>
          <w:tcPr>
            <w:tcW w:type="dxa" w:w="2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FP&amp;A</w:t>
            </w:r>
          </w:p>
        </w:tc>
      </w:tr>
    </w:tbl>
    <w:p>
      <w:pPr>
        <w:pStyle w:val="Heading1"/>
      </w:pPr>
      <w:r>
        <w:t xml:space="preserve">9. Data requirements</w:t>
      </w:r>
    </w:p>
    <w:p>
      <w:pPr>
        <w:pStyle w:val="ListParagraph"/>
        <w:numPr>
          <w:ilvl w:val="0"/>
          <w:numId w:val="2"/>
        </w:numPr>
        <w:spacing w:after="60"/>
      </w:pPr>
      <w:r>
        <w:t xml:space="preserve">Grain: month × tier × region.</w:t>
      </w:r>
    </w:p>
    <w:p>
      <w:pPr>
        <w:pStyle w:val="ListParagraph"/>
        <w:numPr>
          <w:ilvl w:val="0"/>
          <w:numId w:val="2"/>
        </w:numPr>
        <w:spacing w:after="60"/>
      </w:pPr>
      <w:r>
        <w:t xml:space="preserve">Fields: start, new, churned and end subscribers; revenue; COGS; budget revenue; budget COGS.</w:t>
      </w:r>
    </w:p>
    <w:p>
      <w:pPr>
        <w:pStyle w:val="ListParagraph"/>
        <w:numPr>
          <w:ilvl w:val="0"/>
          <w:numId w:val="2"/>
        </w:numPr>
        <w:spacing w:after="60"/>
      </w:pPr>
      <w:r>
        <w:t xml:space="preserve">Quality checks before each refresh: no duplicate keys, end = start + new − churned, revenue ≥ 0, budget present for every row.</w:t>
      </w:r>
    </w:p>
    <w:p>
      <w:pPr>
        <w:pStyle w:val="ListParagraph"/>
        <w:numPr>
          <w:ilvl w:val="0"/>
          <w:numId w:val="2"/>
        </w:numPr>
        <w:spacing w:after="60"/>
      </w:pPr>
      <w:r>
        <w:t xml:space="preserve">Refresh: daily; month locked after finance close.</w:t>
      </w:r>
    </w:p>
    <w:p>
      <w:pPr>
        <w:pStyle w:val="Heading1"/>
      </w:pPr>
      <w:r>
        <w:t xml:space="preserve">10. Non-functional requirements</w:t>
      </w:r>
    </w:p>
    <w:p>
      <w:pPr>
        <w:pStyle w:val="ListParagraph"/>
        <w:numPr>
          <w:ilvl w:val="0"/>
          <w:numId w:val="2"/>
        </w:numPr>
        <w:spacing w:after="60"/>
      </w:pPr>
      <w:r>
        <w:t xml:space="preserve">Performance: any view loads in under 2 seconds.</w:t>
      </w:r>
    </w:p>
    <w:p>
      <w:pPr>
        <w:pStyle w:val="ListParagraph"/>
        <w:numPr>
          <w:ilvl w:val="0"/>
          <w:numId w:val="2"/>
        </w:numPr>
        <w:spacing w:after="60"/>
      </w:pPr>
      <w:r>
        <w:t xml:space="preserve">Access: role-based; regional leads see all regions read-only.</w:t>
      </w:r>
    </w:p>
    <w:p>
      <w:pPr>
        <w:pStyle w:val="ListParagraph"/>
        <w:numPr>
          <w:ilvl w:val="0"/>
          <w:numId w:val="2"/>
        </w:numPr>
        <w:spacing w:after="60"/>
      </w:pPr>
      <w:r>
        <w:t xml:space="preserve">Usability: works on laptop and tablet; no training needed for core views.</w:t>
      </w:r>
    </w:p>
    <w:p>
      <w:pPr>
        <w:pStyle w:val="Heading1"/>
      </w:pPr>
      <w:r>
        <w:t xml:space="preserve">11. Success metrics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980"/>
        <w:gridCol w:w="2980"/>
      </w:tblGrid>
      <w:tr>
        <w:trPr>
          <w:tblHeader/>
        </w:trPr>
        <w:tc>
          <w:tcPr>
            <w:tcW w:type="dxa" w:w="34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Metric</w:t>
            </w:r>
          </w:p>
        </w:tc>
        <w:tc>
          <w:tcPr>
            <w:tcW w:type="dxa" w:w="298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Baseline</w:t>
            </w:r>
          </w:p>
        </w:tc>
        <w:tc>
          <w:tcPr>
            <w:tcW w:type="dxa" w:w="298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Target (60 days)</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Monthly variance reporting time</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~5 days</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2 days</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Weekly active users (3 personas)</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0</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80% of target users</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Metric disputes in leadership review</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Every month</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0</w:t>
            </w:r>
          </w:p>
        </w:tc>
      </w:tr>
      <w:tr>
        <w:trPr>
          <w:tblHeader w:val="false"/>
        </w:trPr>
        <w:tc>
          <w:tcPr>
            <w:tcW w:type="dxa" w:w="34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Forecast accuracy (MAPE)</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Not tracked</w:t>
            </w:r>
          </w:p>
        </w:tc>
        <w:tc>
          <w:tcPr>
            <w:tcW w:type="dxa" w:w="298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 5%</w:t>
            </w:r>
          </w:p>
        </w:tc>
      </w:tr>
    </w:tbl>
    <w:p>
      <w:pPr>
        <w:pStyle w:val="Heading1"/>
      </w:pPr>
      <w:r>
        <w:t xml:space="preserve">12. Release plan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4860"/>
        <w:gridCol w:w="3200"/>
      </w:tblGrid>
      <w:tr>
        <w:trPr>
          <w:tblHeader/>
        </w:trPr>
        <w:tc>
          <w:tcPr>
            <w:tcW w:type="dxa" w:w="13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Phase</w:t>
            </w:r>
          </w:p>
        </w:tc>
        <w:tc>
          <w:tcPr>
            <w:tcW w:type="dxa" w:w="48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Scope</w:t>
            </w:r>
          </w:p>
        </w:tc>
        <w:tc>
          <w:tcPr>
            <w:tcW w:type="dxa" w:w="32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Exit criteria</w:t>
            </w:r>
          </w:p>
        </w:tc>
      </w:tr>
      <w:tr>
        <w:trPr>
          <w:tblHeader w:val="false"/>
        </w:trPr>
        <w:tc>
          <w:tcPr>
            <w:tcW w:type="dxa" w:w="1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MVP</w:t>
            </w:r>
          </w:p>
        </w:tc>
        <w:tc>
          <w:tcPr>
            <w:tcW w:type="dxa" w:w="48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Data model, glossary, Executive and Budget vs. Actual views</w:t>
            </w:r>
          </w:p>
        </w:tc>
        <w:tc>
          <w:tcPr>
            <w:tcW w:type="dxa" w:w="3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FP&amp;A signs off on revenue</w:t>
            </w:r>
          </w:p>
        </w:tc>
      </w:tr>
      <w:tr>
        <w:trPr>
          <w:tblHeader w:val="false"/>
        </w:trPr>
        <w:tc>
          <w:tcPr>
            <w:tcW w:type="dxa" w:w="1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V1</w:t>
            </w:r>
          </w:p>
        </w:tc>
        <w:tc>
          <w:tcPr>
            <w:tcW w:type="dxa" w:w="48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Product performance view, tier/region margin, 12-month forecast model</w:t>
            </w:r>
          </w:p>
        </w:tc>
        <w:tc>
          <w:tcPr>
            <w:tcW w:type="dxa" w:w="3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Weekly use by all 3 personas</w:t>
            </w:r>
          </w:p>
        </w:tc>
      </w:tr>
      <w:tr>
        <w:trPr>
          <w:tblHeader w:val="false"/>
        </w:trPr>
        <w:tc>
          <w:tcPr>
            <w:tcW w:type="dxa" w:w="13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V2</w:t>
            </w:r>
          </w:p>
        </w:tc>
        <w:tc>
          <w:tcPr>
            <w:tcW w:type="dxa" w:w="48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AI anomaly alerts, natural-language questions (AskData)</w:t>
            </w:r>
          </w:p>
        </w:tc>
        <w:tc>
          <w:tcPr>
            <w:tcW w:type="dxa" w:w="32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Alert precision target met</w:t>
            </w:r>
          </w:p>
        </w:tc>
      </w:tr>
    </w:tbl>
    <w:p>
      <w:pPr>
        <w:pStyle w:val="Heading1"/>
      </w:pPr>
      <w:r>
        <w:t xml:space="preserve">13. Risks and mitigations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00"/>
        <w:gridCol w:w="5260"/>
      </w:tblGrid>
      <w:tr>
        <w:trPr>
          <w:tblHeader/>
        </w:trPr>
        <w:tc>
          <w:tcPr>
            <w:tcW w:type="dxa" w:w="410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Risk</w:t>
            </w:r>
          </w:p>
        </w:tc>
        <w:tc>
          <w:tcPr>
            <w:tcW w:type="dxa" w:w="5260"/>
            <w:tcBorders>
              <w:top w:val="single" w:color="BFC7D5" w:sz="1"/>
              <w:left w:val="single" w:color="BFC7D5" w:sz="1"/>
              <w:bottom w:val="single" w:color="BFC7D5" w:sz="1"/>
              <w:right w:val="single" w:color="BFC7D5" w:sz="1"/>
            </w:tcBorders>
            <w:shd w:fill="0B1F3A" w:val="clear"/>
            <w:tcMar>
              <w:top w:type="dxa" w:w="80"/>
              <w:left w:type="dxa" w:w="120"/>
              <w:bottom w:type="dxa" w:w="80"/>
              <w:right w:type="dxa" w:w="120"/>
            </w:tcMar>
          </w:tcPr>
          <w:p>
            <w:r>
              <w:rPr>
                <w:b/>
                <w:bCs/>
                <w:color w:val="FFFFFF"/>
                <w:sz w:val="19"/>
                <w:szCs w:val="19"/>
              </w:rPr>
              <w:t xml:space="preserve">Mitigation</w:t>
            </w:r>
          </w:p>
        </w:tc>
      </w:tr>
      <w:tr>
        <w:trPr>
          <w:tblHeader w:val="false"/>
        </w:trPr>
        <w:tc>
          <w:tcPr>
            <w:tcW w:type="dxa" w:w="4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Teams disagree on definitions</w:t>
            </w:r>
          </w:p>
        </w:tc>
        <w:tc>
          <w:tcPr>
            <w:tcW w:type="dxa" w:w="5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Glossary workshop; Finance owns final definition</w:t>
            </w:r>
          </w:p>
        </w:tc>
      </w:tr>
      <w:tr>
        <w:trPr>
          <w:tblHeader w:val="false"/>
        </w:trPr>
        <w:tc>
          <w:tcPr>
            <w:tcW w:type="dxa" w:w="4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Data quality issues erode trust</w:t>
            </w:r>
          </w:p>
        </w:tc>
        <w:tc>
          <w:tcPr>
            <w:tcW w:type="dxa" w:w="5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Automated validation rules; data-quality status on each refresh</w:t>
            </w:r>
          </w:p>
        </w:tc>
      </w:tr>
      <w:tr>
        <w:trPr>
          <w:tblHeader w:val="false"/>
        </w:trPr>
        <w:tc>
          <w:tcPr>
            <w:tcW w:type="dxa" w:w="4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Scope creep (40+ KPIs requested)</w:t>
            </w:r>
          </w:p>
        </w:tc>
        <w:tc>
          <w:tcPr>
            <w:tcW w:type="dxa" w:w="5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"North Star + 5" metric set; extras moved to drill-downs</w:t>
            </w:r>
          </w:p>
        </w:tc>
      </w:tr>
      <w:tr>
        <w:trPr>
          <w:tblHeader w:val="false"/>
        </w:trPr>
        <w:tc>
          <w:tcPr>
            <w:tcW w:type="dxa" w:w="410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Pressure to add AI before trust is built</w:t>
            </w:r>
          </w:p>
        </w:tc>
        <w:tc>
          <w:tcPr>
            <w:tcW w:type="dxa" w:w="5260"/>
            <w:tcBorders>
              <w:top w:val="single" w:color="BFC7D5" w:sz="1"/>
              <w:left w:val="single" w:color="BFC7D5" w:sz="1"/>
              <w:bottom w:val="single" w:color="BFC7D5" w:sz="1"/>
              <w:right w:val="single" w:color="BFC7D5" w:sz="1"/>
            </w:tcBorders>
            <w:tcMar>
              <w:top w:type="dxa" w:w="80"/>
              <w:left w:type="dxa" w:w="120"/>
              <w:bottom w:type="dxa" w:w="80"/>
              <w:right w:type="dxa" w:w="120"/>
            </w:tcMar>
          </w:tcPr>
          <w:p>
            <w:r>
              <w:rPr>
                <w:b w:val="false"/>
                <w:bCs w:val="false"/>
                <w:color w:val="222222"/>
                <w:sz w:val="19"/>
                <w:szCs w:val="19"/>
              </w:rPr>
              <w:t xml:space="preserve">RICE prioritization; AI moved to V2</w:t>
            </w:r>
          </w:p>
        </w:tc>
      </w:tr>
    </w:tbl>
    <w:p>
      <w:pPr>
        <w:pStyle w:val="Heading1"/>
      </w:pPr>
      <w:r>
        <w:t xml:space="preserve">14. Open questions</w:t>
      </w:r>
    </w:p>
    <w:p>
      <w:pPr>
        <w:pStyle w:val="ListParagraph"/>
        <w:numPr>
          <w:ilvl w:val="0"/>
          <w:numId w:val="2"/>
        </w:numPr>
        <w:spacing w:after="60"/>
      </w:pPr>
      <w:r>
        <w:t xml:space="preserve">Should regional leads see other regions' cost data?</w:t>
      </w:r>
    </w:p>
    <w:p>
      <w:pPr>
        <w:pStyle w:val="ListParagraph"/>
        <w:numPr>
          <w:ilvl w:val="0"/>
          <w:numId w:val="2"/>
        </w:numPr>
        <w:spacing w:after="60"/>
      </w:pPr>
      <w:r>
        <w:t xml:space="preserve">Which month-close date locks data: workday 3 or workday 5?</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FinSight PRD · Synthetic data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Arial" w:cs="Arial" w:eastAsia="Arial" w:hAnsi="Arial"/>
      <w:b/>
      <w:bCs/>
      <w:color w:val="0B1F3A"/>
      <w:sz w:val="28"/>
      <w:szCs w:val="28"/>
    </w:rPr>
  </w:style>
  <w:style w:type="paragraph" w:styleId="Heading2">
    <w:name w:val="Heading 2"/>
    <w:basedOn w:val="Normal"/>
    <w:next w:val="Normal"/>
    <w:qFormat/>
    <w:pPr>
      <w:spacing w:after="80" w:before="160"/>
      <w:outlineLvl w:val="1"/>
    </w:pPr>
    <w:rPr>
      <w:rFonts w:ascii="Arial" w:cs="Arial" w:eastAsia="Arial" w:hAnsi="Arial"/>
      <w:b/>
      <w:bCs/>
      <w:color w:val="13315C"/>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2026-10-24T23:00:43.786Z</dcterms:created>
  <dcterms:modified xsi:type="dcterms:W3CDTF">2026-10-24T23:00:43.792Z</dcterms:modified>
</cp:coreProperties>
</file>

<file path=docProps/custom.xml><?xml version="1.0" encoding="utf-8"?>
<Properties xmlns="http://schemas.openxmlformats.org/officeDocument/2006/custom-properties" xmlns:vt="http://schemas.openxmlformats.org/officeDocument/2006/docPropsVTypes"/>
</file>